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№4308-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tru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Style32"/>
        <w:widowControl w:val="false"/>
        <w:numPr>
          <w:ilvl w:val="0"/>
          <w:numId w:val="0"/>
        </w:numPr>
        <w:tabs>
          <w:tab w:val="left" w:pos="5893" w:leader="none"/>
        </w:tabs>
        <w:suppressAutoHyphens w:val="true"/>
        <w:overflowPunct w:val="true"/>
        <w:bidi w:val="0"/>
        <w:spacing w:lineRule="auto" w:line="247" w:before="0" w:after="160"/>
        <w:ind w:left="0" w:right="3969" w:hanging="0"/>
        <w:jc w:val="both"/>
        <w:rPr/>
      </w:pPr>
      <w:r>
        <w:rPr>
          <w:rStyle w:val="Style12"/>
          <w:rFonts w:eastAsia="SimSu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eastAsia="en-US" w:bidi="ar-SA"/>
        </w:rPr>
        <w:t xml:space="preserve">Про затвердження гр. Костромицькій Т.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</w:t>
      </w:r>
      <w:r>
        <w:rPr>
          <w:rStyle w:val="Style12"/>
          <w:rFonts w:eastAsia="SimSu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A"/>
          <w:spacing w:val="0"/>
          <w:sz w:val="22"/>
          <w:szCs w:val="22"/>
          <w:highlight w:val="white"/>
          <w:lang w:val="uk-UA" w:eastAsia="en-US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Костромицької Тетяни Ігорівни,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Віталій Вікторович, Витяг з Державного реєстру речових прав на нерухоме майно про реєстрацію права власності, індексний номер витягу: 43523874 від 09.09.2015 року (реєстраційний номер об’єкта нерухомого майна: 720327763217), зареєстроване ПН Харківського міського                 нотаріального округу, витяг з Державного земельного кадастру про земельну ділянку                 № НВ-7300646912024 від 24.12.2024 року, що зареєстрована Відділом Держземагентства у Зміївському районі Харківської області, рекомендації постійної комісії з питань                          містобудування, будівництва, розвитку інфраструктури, земельних відносин,                              природокористування та аграрної політики Зміївської міської ради (витяг з протоколу                     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Style w:val="Style12"/>
          <w:sz w:val="24"/>
          <w:szCs w:val="24"/>
          <w:lang w:val="uk-UA"/>
        </w:rPr>
        <w:t xml:space="preserve">для будівництва і обслуговування житлового будинку, господарських будівель і споруд (присадибна ділянка) гр. Костромицької Тетяни Ігорівни 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Костромицькій Тетяні Ігорівні, ідентифікаційний номер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6321786001:01:004:0146, для будівництва і обслуговування житлового будинку, господарських будівель і споруд (присадибна ділянка) (код КВЦПЗД - 02.01) із земель житлової та громадської забудови комунальної власності територіальної громади Зміївської міської ради, площею 0,2018 га (забудовані землі - 0,2018 га, з них малоповерхова забудова - 0,0131 га, землі під житловою забудовою - 0,1887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86001:</w:t>
      </w:r>
      <w:r>
        <w:rPr>
          <w:rStyle w:val="Style12"/>
          <w:sz w:val="24"/>
          <w:szCs w:val="24"/>
        </w:rPr>
        <w:t>01:004:01</w:t>
      </w:r>
      <w:r>
        <w:rPr>
          <w:rStyle w:val="Style12"/>
          <w:sz w:val="24"/>
          <w:szCs w:val="24"/>
          <w:lang w:val="uk-UA"/>
        </w:rPr>
        <w:t>46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Костромицькій Т. І.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3564</TotalTime>
  <Application>LibreOffice/5.1.6.2$Linux_X86_64 LibreOffice_project/10m0$Build-2</Application>
  <Pages>2</Pages>
  <Words>479</Words>
  <Characters>3313</Characters>
  <CharactersWithSpaces>4064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2025-01-31T08:47:27Z</cp:lastPrinted>
  <dcterms:modified xsi:type="dcterms:W3CDTF">2025-02-17T09:56:55Z</dcterms:modified>
  <cp:revision>365</cp:revision>
  <dc:subject/>
  <dc:title/>
</cp:coreProperties>
</file>