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№5265-ХСV-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затвердження гр. Дерев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zh-CN" w:bidi="ar-SA"/>
        </w:rPr>
        <w:t>`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янко Л. В. проекту землеустрою щодо відведення земельної ділянки та передачу її в оренду для городництва, що                розташована с. Велика Гомільша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Дерев`янко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Лілії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затвердження проекту землеустрою щодо відведення земельної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ки та передачу її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оренду для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городництва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с. Велика Гомільша Зміївської міської територіальної громади, строком на 49 років,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проект землеустрою щодо відведення земельної ділянки, розроблений ФО-П Солдатенко В. В.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1400041972026 від 05.02.2026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Донецькій області, 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99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54471232026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із технічної документації з нормативної грошової оцінки земельних ділянок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26.02.2026 року,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36, 122, 123, 124, 125, 126, 134, 186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  гр.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en-US" w:eastAsia="zh-CN" w:bidi="ar-SA"/>
        </w:rPr>
        <w:t>Дерев`янко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Лілії Василівни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для городництва (код КВЦПЗ - 01.07), розташованої в                            с. Велика Гомільша Зміївської міської територіальної громади Чугуївського району                       Харківської області.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2. Передати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 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en-US" w:eastAsia="zh-CN" w:bidi="ar-SA"/>
        </w:rPr>
        <w:t>Дерев`янко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 Лілії Василівні, реєстраційний номер облікової картки                      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6321781501:01:003:0041,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для городництва (код КВЦПЗД - 01.07) земель сільськогосподарського призначення комунальної власності Зміївської міської ради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площею 0,1990 га (сільськогосподарські землі - 0,1990 га,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- 0,1990 га),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що розташована с. Велика Гомільша Зміївської міської територіальної громади,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en-US" w:eastAsia="zh-CN" w:bidi="ar-SA"/>
        </w:rPr>
        <w:t>Дерев`янко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Л. В.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6321781501:01:003:0041,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en-US" w:eastAsia="zh-CN" w:bidi="ar-SA"/>
        </w:rPr>
        <w:t>Дерев`янко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zh-CN" w:bidi="ar-SA"/>
        </w:rPr>
        <w:t xml:space="preserve"> Л. В.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 w:bidi="ar-SA"/>
        </w:rPr>
        <w:t>забезпечити підготовку та укладання 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Application>LibreOffice/5.1.6.2$Linux_X86_64 LibreOffice_project/10m0$Build-2</Application>
  <Pages>2</Pages>
  <Words>474</Words>
  <Characters>3168</Characters>
  <CharactersWithSpaces>3928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2026-03-06T08:40:59Z</cp:lastPrinted>
  <dcterms:modified xsi:type="dcterms:W3CDTF">2026-03-12T10:07:18Z</dcterms:modified>
  <cp:revision>527</cp:revision>
  <dc:subject/>
  <dc:title/>
</cp:coreProperties>
</file>