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№5267-ХСV-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Про відмову ГО «ГЕРОЇ ЗМІЇВЩИНИ» у наданні у користування на умовах оренди земельної ділянки в комплексі з розташованим на ній водним об’єктом, що розташована за межами сел. Зідьки Зміївської територіальної громади</w:t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ГО «ГЕРОЇ ЗМІЇВЩИНИ»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ідентифікаційний код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місцезнаходження юридичної особи: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надання у користування на умовах оренди земельної ділянки в комплексі з розташованим на ній водним об’єктом, що розташована за межами сел. Зідьки Зміївської територіальної громади,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надане заявником Викопіювання із публічної кадастрової карти, рекомендації постійної комісії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20, 34, 58, 123,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134, 127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п. 34 ст. 26, ст. 59 Закону України «Про місцеве самоврядування в Україні», Закону України “Про адміністративну процедуру”,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lang w:val="uk-UA"/>
        </w:rPr>
        <w:t xml:space="preserve">1. </w:t>
      </w:r>
      <w:r>
        <w:rPr>
          <w:lang w:val="uk-UA" w:eastAsia="zh-CN" w:bidi="ar-SA"/>
        </w:rPr>
        <w:t>Відмовити</w:t>
      </w:r>
      <w:r>
        <w:rPr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ГО «ГЕРОЇ ЗМІЇВЩИНИ», ідентифікаційний код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місцезнаходження юридичної особи: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 w:eastAsia="zh-CN" w:bidi="ar-SA"/>
        </w:rPr>
        <w:t>,</w:t>
      </w:r>
      <w:r>
        <w:rPr>
          <w:lang w:val="uk-UA"/>
        </w:rPr>
        <w:t xml:space="preserve"> </w:t>
      </w:r>
      <w:r>
        <w:rPr>
          <w:b w:val="false"/>
          <w:bCs w:val="false"/>
          <w:color w:val="000000"/>
          <w:shd w:fill="FFFFFF" w:val="clear"/>
          <w:lang w:val="uk-UA"/>
        </w:rPr>
        <w:t xml:space="preserve">у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наданні у користування на умовах оренди земельної ділянки орієнтовною площею 23.0000 га в комплексі з розташованим на ній водним об’єктом, що розташована за межами сел. Зідьки Зміївської територіальної громади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lang w:val="uk-UA" w:eastAsia="zh-CN" w:bidi="ar-SA"/>
        </w:rPr>
      </w:pPr>
      <w:r>
        <w:rPr>
          <w:lang w:val="uk-UA" w:eastAsia="zh-CN" w:bidi="ar-SA"/>
        </w:rPr>
        <w:t>2. Підстава відмови:</w:t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- земельна ділянка, що підлягає передачі в оренду, не сформована та не є об’єктом цивільних прав, адже згідно із п. 9 ст.79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vertAlign w:val="superscript"/>
          <w:lang w:val="uk-UA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uk-UA" w:eastAsia="zh-CN" w:bidi="ar-SA"/>
        </w:rPr>
        <w:t xml:space="preserve"> Земельного кодексу України</w:t>
      </w:r>
      <w:r>
        <w:rPr>
          <w:caps w:val="false"/>
          <w:smallCaps w:val="false"/>
          <w:color w:val="333333"/>
          <w:spacing w:val="0"/>
        </w:rPr>
        <w:t> 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lang w:val="uk-UA"/>
        </w:rPr>
        <w:t>з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емельна ділянка може бути об'єктом цивільних прав виключно з моменту її формування (крім випадків суборенди, сервітуту щодо частин земельних ділянок) та державної реєстрації права власності на неї.</w:t>
      </w:r>
      <w:r>
        <w:rPr>
          <w:color w:val="000000"/>
        </w:rPr>
        <w:t xml:space="preserve"> </w:t>
      </w:r>
    </w:p>
    <w:p>
      <w:pPr>
        <w:pStyle w:val="Style32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3</w:t>
      </w:r>
      <w:r>
        <w:rPr>
          <w:rStyle w:val="Style12"/>
          <w:rFonts w:cs="Times New Roman"/>
          <w:color w:val="000000"/>
          <w:sz w:val="24"/>
          <w:szCs w:val="24"/>
          <w:lang w:val="uk-UA"/>
        </w:rPr>
        <w:t xml:space="preserve">. </w:t>
      </w:r>
      <w:r>
        <w:rPr>
          <w:rStyle w:val="Style12"/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>Дане рішення набирає чинності в порядку, передбаченому статтею 59 Закону України «Про місцеве самоврядування в Україні», та може бути оскаржено до суду в порядку та у строки, передбачені Кодексом адміністративного судочинства України.</w:t>
      </w:r>
      <w:r>
        <w:rPr>
          <w:rStyle w:val="Style12"/>
          <w:rFonts w:cs="Times New Roman"/>
          <w:color w:val="000000"/>
          <w:sz w:val="24"/>
          <w:szCs w:val="24"/>
          <w:lang w:val="uk-UA"/>
        </w:rPr>
        <w:t xml:space="preserve"> 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4792</TotalTime>
  <Application>LibreOffice/5.1.6.2$Linux_X86_64 LibreOffice_project/10m0$Build-2</Application>
  <Pages>1</Pages>
  <Words>321</Words>
  <Characters>2058</Characters>
  <CharactersWithSpaces>2530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2026-03-06T08:45:06Z</cp:lastPrinted>
  <dcterms:modified xsi:type="dcterms:W3CDTF">2026-03-12T10:08:47Z</dcterms:modified>
  <cp:revision>533</cp:revision>
  <dc:subject/>
  <dc:title/>
</cp:coreProperties>
</file>