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04 червня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5434</w:t>
      </w:r>
      <w:r>
        <w:rPr>
          <w:rFonts w:cs="Times New Roman"/>
          <w:b/>
          <w:bCs/>
          <w:sz w:val="24"/>
          <w:szCs w:val="24"/>
          <w:lang w:val="uk-UA"/>
        </w:rPr>
        <w:t>-</w:t>
      </w:r>
      <w:r>
        <w:rPr>
          <w:rFonts w:cs="Times New Roman"/>
          <w:b/>
          <w:bCs/>
          <w:caps/>
          <w:color w:val="000000"/>
          <w:sz w:val="24"/>
          <w:szCs w:val="24"/>
          <w:lang w:val="en-US"/>
        </w:rPr>
        <w:t>Х</w:t>
      </w:r>
      <w:r>
        <w:rPr>
          <w:rFonts w:cs="Times New Roman"/>
          <w:b/>
          <w:bCs/>
          <w:caps/>
          <w:color w:val="000000"/>
          <w:sz w:val="24"/>
          <w:szCs w:val="24"/>
          <w:lang w:val="uk-UA"/>
        </w:rPr>
        <w:t>СІХ</w:t>
      </w:r>
      <w:r>
        <w:rPr>
          <w:rFonts w:cs="Times New Roman"/>
          <w:b/>
          <w:bCs/>
          <w:sz w:val="24"/>
          <w:szCs w:val="24"/>
          <w:lang w:val="uk-UA"/>
        </w:rPr>
        <w:t>-</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eastAsia="Times New Roman" w:cs="Times New Roman"/>
          <w:b/>
          <w:b/>
          <w:bCs/>
          <w:i w:val="false"/>
          <w:i w:val="false"/>
          <w:iCs/>
          <w:color w:val="000000"/>
          <w:sz w:val="24"/>
          <w:szCs w:val="24"/>
          <w:highlight w:val="white"/>
          <w:lang w:val="uk-UA" w:eastAsia="zh-CN" w:bidi="ar-SA"/>
        </w:rPr>
      </w:pPr>
      <w:r>
        <w:rPr>
          <w:rFonts w:eastAsia="Times New Roman" w:cs="Times New Roman"/>
          <w:b/>
          <w:bCs/>
          <w:i w:val="false"/>
          <w:iCs/>
          <w:color w:val="000000"/>
          <w:sz w:val="24"/>
          <w:szCs w:val="24"/>
          <w:highlight w:val="white"/>
          <w:lang w:val="uk-UA" w:eastAsia="zh-CN" w:bidi="ar-SA"/>
        </w:rPr>
      </w:r>
    </w:p>
    <w:p>
      <w:pPr>
        <w:pStyle w:val="Normal"/>
        <w:widowControl/>
        <w:tabs>
          <w:tab w:val="left" w:pos="6705" w:leader="none"/>
        </w:tabs>
        <w:suppressAutoHyphens w:val="true"/>
        <w:overflowPunct w:val="true"/>
        <w:bidi w:val="0"/>
        <w:snapToGrid w:val="true"/>
        <w:spacing w:lineRule="atLeast" w:line="200" w:before="0" w:after="160"/>
        <w:ind w:left="0" w:right="3969" w:hanging="0"/>
        <w:jc w:val="both"/>
        <w:rPr/>
      </w:pPr>
      <w:r>
        <w:rPr>
          <w:rStyle w:val="Style12"/>
          <w:rFonts w:eastAsia="Times New Roman" w:cs="Calibri"/>
          <w:b/>
          <w:bCs/>
          <w:i w:val="false"/>
          <w:iCs/>
          <w:color w:val="000000"/>
          <w:sz w:val="24"/>
          <w:szCs w:val="24"/>
          <w:highlight w:val="white"/>
          <w:lang w:val="uk-UA" w:eastAsia="ru-RU" w:bidi="zxx"/>
        </w:rPr>
        <w:t xml:space="preserve">Про затвердження </w:t>
      </w:r>
      <w:r>
        <w:rPr>
          <w:rStyle w:val="Style12"/>
          <w:rFonts w:eastAsia="Times New Roman" w:cs="Times New Roman"/>
          <w:b/>
          <w:bCs/>
          <w:i w:val="false"/>
          <w:iCs/>
          <w:color w:val="000000"/>
          <w:sz w:val="24"/>
          <w:szCs w:val="24"/>
          <w:highlight w:val="white"/>
          <w:lang w:val="uk-UA" w:eastAsia="ru-RU" w:bidi="ar-SA"/>
        </w:rPr>
        <w:t>технічної документації з нормативної грошової оцінки земельної ділянки для розгортання, експлуатації електронних комунікаційних мереж (код КВЦПЗД 13.01), кадастровий номер 6321780509:02:001:0023,</w:t>
      </w:r>
      <w:r>
        <w:rPr>
          <w:rStyle w:val="Style12"/>
          <w:rFonts w:eastAsia="Times New Roman" w:cs="Times New Roman"/>
          <w:b/>
          <w:bCs/>
          <w:i w:val="false"/>
          <w:iCs/>
          <w:color w:val="00000A"/>
          <w:sz w:val="24"/>
          <w:szCs w:val="24"/>
          <w:highlight w:val="white"/>
          <w:lang w:val="uk-UA" w:eastAsia="ru-RU" w:bidi="ar-SA"/>
        </w:rPr>
        <w:t xml:space="preserve"> яка розташована за межами населених пунктів на території Зміївської міської територіальної громади</w:t>
      </w:r>
      <w:r>
        <w:rPr>
          <w:rStyle w:val="Style12"/>
          <w:rFonts w:eastAsia="Times New Roman" w:cs="Times New Roman"/>
          <w:b/>
          <w:bCs/>
          <w:i w:val="false"/>
          <w:iCs/>
          <w:color w:val="000000"/>
          <w:sz w:val="24"/>
          <w:szCs w:val="24"/>
          <w:highlight w:val="white"/>
          <w:lang w:val="en-US" w:eastAsia="ru-RU" w:bidi="ar-SA"/>
        </w:rPr>
        <w:t xml:space="preserve"> </w:t>
      </w:r>
      <w:r>
        <w:rPr>
          <w:rStyle w:val="Style12"/>
          <w:rFonts w:eastAsia="Times New Roman" w:cs="Times New Roman"/>
          <w:b/>
          <w:bCs/>
          <w:i w:val="false"/>
          <w:iCs/>
          <w:color w:val="000000"/>
          <w:sz w:val="24"/>
          <w:szCs w:val="24"/>
          <w:highlight w:val="white"/>
          <w:lang w:val="uk-UA" w:eastAsia="ru-RU" w:bidi="ar-SA"/>
        </w:rPr>
        <w:t xml:space="preserve">та перебуває в користуванні ЗАТ “Український мобільний </w:t>
      </w:r>
      <w:r>
        <w:rPr>
          <w:rStyle w:val="Style12"/>
          <w:rFonts w:eastAsia="Times New Roman" w:cs="Times New Roman"/>
          <w:b/>
          <w:bCs/>
          <w:i w:val="false"/>
          <w:iCs/>
          <w:color w:val="000000"/>
          <w:sz w:val="24"/>
          <w:szCs w:val="24"/>
          <w:highlight w:val="white"/>
          <w:lang w:val="en-US" w:eastAsia="ru-RU" w:bidi="ar-SA"/>
        </w:rPr>
        <w:t>зв`язок</w:t>
      </w:r>
      <w:r>
        <w:rPr>
          <w:rStyle w:val="Style12"/>
          <w:rFonts w:eastAsia="Times New Roman" w:cs="Times New Roman"/>
          <w:b/>
          <w:bCs/>
          <w:i w:val="false"/>
          <w:iCs/>
          <w:color w:val="000000"/>
          <w:sz w:val="24"/>
          <w:szCs w:val="24"/>
          <w:highlight w:val="white"/>
          <w:lang w:val="uk-UA" w:eastAsia="ru-RU" w:bidi="ar-SA"/>
        </w:rPr>
        <w:t>”</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 директора ПП “Земстройпроект” Анатолія ПОКОТИЛА</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ідентифікаційний код юридичної особи: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33816242,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місцезнаходження: вул. Євгена                          Котляра, 8/10А, м. Харків, 61052,</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затвердження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технічн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ої документації з                  нормативної грошової оцінки земель</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ної ділянки</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для </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ru-RU" w:bidi="ar-SA"/>
        </w:rPr>
        <w:t>розгортання, експлуатації електронних комунікаційних мереж</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що розташована за межами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населених пунктів на території</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ru-RU" w:bidi="ar-SA"/>
        </w:rPr>
        <w:t xml:space="preserve">                    Зміївської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міської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територіальної громади, враховуючи надану технічну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документацію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ної ділянки, розроблену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у 20</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26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році на замовлення ПрАТ “ВФ Україна” код ЄДРПОУ: 14333937, як правонаступник</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ЗАТ</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Український мобільний зв`язок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за Договором про виконання комплексу землевпорядних робіт                   №Т</w:t>
      </w:r>
      <w:r>
        <w:rPr>
          <w:rStyle w:val="Style12"/>
          <w:rFonts w:eastAsia="Times New Roman" w:cs="Times New Roman"/>
          <w:b w:val="false"/>
          <w:bCs w:val="false"/>
          <w:i w:val="false"/>
          <w:iCs/>
          <w:caps w:val="false"/>
          <w:smallCaps w:val="false"/>
          <w:color w:val="000000"/>
          <w:spacing w:val="4"/>
          <w:sz w:val="24"/>
          <w:szCs w:val="24"/>
          <w:highlight w:val="white"/>
          <w:u w:val="none"/>
          <w:lang w:val="en-US" w:eastAsia="ru-RU" w:bidi="ar-SA"/>
        </w:rPr>
        <w:t>D-</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26-502174 від 05.03.2026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85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 червня</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керуючись Постановою Кабінету Міністрів України від 03.11.2021 року №1147 “Про затвердження Методики нормативної грошової оцінки земельних ділянок”, ст. 12, 201 Земельного кодексу України, ст. 271, 271.2 Податкового кодексу України, ст. 15, 18,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2"/>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tru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 xml:space="preserve">технічну документацію з нормативної грошової оцінки земельної ділянки, </w:t>
      </w:r>
      <w:r>
        <w:rPr>
          <w:rFonts w:eastAsia="Times New Roman" w:cs="Times New Roman"/>
          <w:b w:val="false"/>
          <w:bCs w:val="false"/>
          <w:i w:val="false"/>
          <w:iCs/>
          <w:color w:val="00000A"/>
          <w:sz w:val="24"/>
          <w:szCs w:val="24"/>
          <w:lang w:val="uk-UA" w:eastAsia="ru-RU" w:bidi="ar-SA"/>
        </w:rPr>
        <w:t>яка розташована за межами населених пунктів на території Зміївської міської територіальної громади</w:t>
      </w:r>
      <w:r>
        <w:rPr>
          <w:rFonts w:eastAsia="Times New Roman" w:cs="Times New Roman"/>
          <w:b w:val="false"/>
          <w:bCs w:val="false"/>
          <w:i w:val="false"/>
          <w:iCs/>
          <w:color w:val="000000"/>
          <w:sz w:val="24"/>
          <w:szCs w:val="24"/>
          <w:lang w:val="uk-UA" w:eastAsia="ru-RU" w:bidi="ar-SA"/>
        </w:rPr>
        <w:t xml:space="preserve"> Чугуївського району Харківської області, для розгортання, експлуатації електронних комунікаційних мереж (13.01), кадастровий номер 6321780509:02:001:0023.</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електронних комунікацій, кадастровий номер </w:t>
      </w:r>
      <w:r>
        <w:rPr>
          <w:rFonts w:eastAsia="Times New Roman" w:cs="Times New Roman"/>
          <w:b w:val="false"/>
          <w:bCs w:val="false"/>
          <w:i w:val="false"/>
          <w:iCs/>
          <w:color w:val="000000"/>
          <w:sz w:val="24"/>
          <w:szCs w:val="24"/>
          <w:lang w:val="uk-UA" w:eastAsia="ru-RU" w:bidi="ar-SA"/>
        </w:rPr>
        <w:t xml:space="preserve">6321780509:02:001:0023, цільове призначення: 13.01 - </w:t>
      </w:r>
      <w:r>
        <w:rPr>
          <w:rFonts w:eastAsia="Times New Roman" w:cs="Times New Roman"/>
          <w:b w:val="false"/>
          <w:bCs w:val="false"/>
          <w:i w:val="false"/>
          <w:iCs/>
          <w:caps w:val="false"/>
          <w:smallCaps w:val="false"/>
          <w:color w:val="000000"/>
          <w:spacing w:val="0"/>
          <w:sz w:val="24"/>
          <w:szCs w:val="24"/>
          <w:lang w:val="uk-UA" w:eastAsia="ru-RU" w:bidi="ar-SA"/>
        </w:rPr>
        <w:t>Для розгортання, експлуатації електронних комунікаційних мереж</w:t>
      </w:r>
      <w:r>
        <w:rPr>
          <w:rFonts w:eastAsia="Times New Roman" w:cs="Times New Roman"/>
          <w:b w:val="false"/>
          <w:bCs/>
          <w:iCs/>
          <w:color w:val="000000"/>
          <w:sz w:val="24"/>
          <w:szCs w:val="24"/>
          <w:lang w:val="uk-UA" w:eastAsia="ru-RU" w:bidi="ar-SA"/>
        </w:rPr>
        <w:t>, площею 0,0900 га</w:t>
      </w:r>
      <w:r>
        <w:rPr>
          <w:rFonts w:eastAsia="Times New Roman" w:cs="Times New Roman"/>
          <w:b w:val="false"/>
          <w:bCs w:val="false"/>
          <w:i w:val="false"/>
          <w:iCs/>
          <w:color w:val="000000"/>
          <w:sz w:val="24"/>
          <w:szCs w:val="24"/>
          <w:lang w:val="uk-UA" w:eastAsia="ru-RU" w:bidi="ar-SA"/>
        </w:rPr>
        <w:t xml:space="preserve">, станом на дату оцінки </w:t>
      </w:r>
      <w:r>
        <w:rPr>
          <w:rFonts w:eastAsia="Times New Roman" w:cs="Times New Roman"/>
          <w:b w:val="false"/>
          <w:bCs/>
          <w:i w:val="false"/>
          <w:iCs/>
          <w:color w:val="000000"/>
          <w:sz w:val="24"/>
          <w:szCs w:val="24"/>
          <w:lang w:val="uk-UA" w:eastAsia="ru-RU" w:bidi="ar-SA"/>
        </w:rPr>
        <w:t>01.01.2026 року</w:t>
      </w:r>
      <w:r>
        <w:rPr>
          <w:rFonts w:eastAsia="Times New Roman" w:cs="Times New Roman"/>
          <w:b w:val="false"/>
          <w:bCs w:val="false"/>
          <w:i w:val="false"/>
          <w:iCs/>
          <w:color w:val="000000"/>
          <w:sz w:val="24"/>
          <w:szCs w:val="24"/>
          <w:lang w:val="uk-UA" w:eastAsia="ru-RU" w:bidi="ar-SA"/>
        </w:rPr>
        <w:t xml:space="preserve">, становить 357 355, 71 грн (триста </w:t>
      </w:r>
      <w:r>
        <w:rPr>
          <w:rFonts w:eastAsia="Times New Roman" w:cs="Times New Roman"/>
          <w:b w:val="false"/>
          <w:bCs w:val="false"/>
          <w:i w:val="false"/>
          <w:iCs/>
          <w:color w:val="000000"/>
          <w:sz w:val="24"/>
          <w:szCs w:val="24"/>
          <w:lang w:val="en-US" w:eastAsia="ru-RU" w:bidi="ar-SA"/>
        </w:rPr>
        <w:t>п`ятдесят</w:t>
      </w:r>
      <w:r>
        <w:rPr>
          <w:rFonts w:eastAsia="Times New Roman" w:cs="Times New Roman"/>
          <w:b w:val="false"/>
          <w:bCs w:val="false"/>
          <w:i w:val="false"/>
          <w:iCs/>
          <w:color w:val="000000"/>
          <w:sz w:val="24"/>
          <w:szCs w:val="24"/>
          <w:lang w:val="uk-UA" w:eastAsia="ru-RU" w:bidi="ar-SA"/>
        </w:rPr>
        <w:t xml:space="preserve"> сім тисяч триста п’ятдесят п’ять гривень сімдесят одна копійка). </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6321780509:02:001:</w:t>
      </w:r>
      <w:r>
        <w:rPr>
          <w:rFonts w:eastAsia="Times New Roman" w:cs="Times New Roman"/>
          <w:b w:val="false"/>
          <w:bCs w:val="false"/>
          <w:i w:val="false"/>
          <w:iCs/>
          <w:color w:val="000000"/>
          <w:sz w:val="24"/>
          <w:szCs w:val="24"/>
          <w:lang w:val="en-US" w:eastAsia="ru-RU" w:bidi="ar-SA"/>
        </w:rPr>
        <w:t>0</w:t>
      </w:r>
      <w:r>
        <w:rPr>
          <w:rFonts w:eastAsia="Times New Roman" w:cs="Times New Roman"/>
          <w:b w:val="false"/>
          <w:bCs w:val="false"/>
          <w:i w:val="false"/>
          <w:iCs/>
          <w:color w:val="000000"/>
          <w:sz w:val="24"/>
          <w:szCs w:val="24"/>
          <w:lang w:val="uk-UA" w:eastAsia="ru-RU" w:bidi="ar-SA"/>
        </w:rPr>
        <w:t>023  з  01.08.2026 року.</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Cs/>
          <w:color w:val="000000"/>
          <w:sz w:val="24"/>
          <w:szCs w:val="24"/>
          <w:lang w:val="uk-UA" w:eastAsia="ru-RU" w:bidi="ar-SA"/>
        </w:rPr>
        <w:t>4. Оприлюднити дане рішення згідно вимог чинного законодавства.</w:t>
      </w:r>
    </w:p>
    <w:p>
      <w:pPr>
        <w:pStyle w:val="Style34"/>
        <w:widowControl w:val="false"/>
        <w:suppressAutoHyphens w:val="true"/>
        <w:overflowPunct w:val="true"/>
        <w:bidi w:val="0"/>
        <w:ind w:left="0" w:right="0" w:firstLine="567"/>
        <w:jc w:val="both"/>
        <w:rPr/>
      </w:pPr>
      <w:r>
        <w:rPr>
          <w:rStyle w:val="Style12"/>
          <w:rFonts w:ascii="Times New Roman" w:hAnsi="Times New Roman"/>
          <w:sz w:val="24"/>
          <w:szCs w:val="24"/>
          <w:lang w:val="uk-UA"/>
        </w:rPr>
        <w:t>5.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4"/>
        <w:widowControl w:val="false"/>
        <w:suppressAutoHyphens w:val="true"/>
        <w:overflowPunct w:val="true"/>
        <w:bidi w:val="0"/>
        <w:ind w:left="0" w:right="0" w:firstLine="567"/>
        <w:jc w:val="both"/>
        <w:rPr>
          <w:rStyle w:val="Style12"/>
          <w:rFonts w:ascii="Times New Roman" w:hAnsi="Times New Roman" w:eastAsia="SimSun" w:cs="Times New Roman"/>
          <w:b w:val="false"/>
          <w:b w:val="false"/>
          <w:bCs w:val="false"/>
          <w:iCs/>
          <w:color w:val="00000A"/>
          <w:sz w:val="24"/>
          <w:szCs w:val="24"/>
          <w:lang w:val="uk-UA" w:eastAsia="en-US" w:bidi="ar-SA"/>
        </w:rPr>
      </w:pPr>
      <w:r>
        <w:rPr>
          <w:rFonts w:eastAsia="SimSun" w:cs="Times New Roman" w:ascii="Times New Roman" w:hAnsi="Times New Roman"/>
          <w:b w:val="false"/>
          <w:bCs w:val="false"/>
          <w:iCs/>
          <w:color w:val="00000A"/>
          <w:sz w:val="24"/>
          <w:szCs w:val="24"/>
          <w:lang w:val="uk-UA" w:eastAsia="en-US"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5101</TotalTime>
  <Application>LibreOffice/5.1.6.2$Linux_X86_64 LibreOffice_project/10m0$Build-2</Application>
  <Pages>2</Pages>
  <Words>368</Words>
  <Characters>2702</Characters>
  <CharactersWithSpaces>3377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2026-06-04T15:51:18Z</cp:lastPrinted>
  <dcterms:modified xsi:type="dcterms:W3CDTF">2026-06-04T15:51:08Z</dcterms:modified>
  <cp:revision>574</cp:revision>
  <dc:subject/>
  <dc:title/>
</cp:coreProperties>
</file>