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 м. Зміїв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№5438-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6354" w:leader="none"/>
          <w:tab w:val="left" w:pos="6705" w:leader="none"/>
        </w:tabs>
        <w:suppressAutoHyphens w:val="true"/>
        <w:overflowPunct w:val="true"/>
        <w:bidi w:val="0"/>
        <w:snapToGrid w:val="true"/>
        <w:spacing w:lineRule="atLeast" w:line="200" w:before="280" w:after="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Про надання дозволу гр.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Аліпіній В. І. н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>а розроб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лення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 проекту землеустрою щодо відведення земельн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ої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 ділян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ки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 в оренду для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 городництва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>, що розташован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Аліпіної Валентини Іванівни,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ка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про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надання дозволу на розроблення проекту землеустрою щодо відведення 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 оренду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для городництва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                    враховуючи графічний матеріал, розроблений ТОВ “ВП-БАЗ”, рекомендації постійної комісії з питань містобудування, будівництва, розвитку інфраструктури, земельних                 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              протоколу № 85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36,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93, 116, 122, 123, 124, 125,126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>1. Надати дозвіл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гр. Аліпіній Валентині Іванівні, ідентифікаційний номер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,  яка зареєстрована за адресою: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, </w:t>
      </w:r>
      <w:r>
        <w:rPr>
          <w:color w:val="000000"/>
          <w:sz w:val="24"/>
          <w:szCs w:val="24"/>
          <w:lang w:val="uk-UA"/>
        </w:rPr>
        <w:t>на розроб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лення</w:t>
      </w:r>
      <w:r>
        <w:rPr>
          <w:color w:val="000000"/>
          <w:sz w:val="24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ки в оренду </w:t>
      </w:r>
      <w:r>
        <w:rPr>
          <w:color w:val="000000"/>
          <w:sz w:val="24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ля городництва </w:t>
      </w:r>
      <w:r>
        <w:rPr>
          <w:color w:val="000000"/>
          <w:sz w:val="24"/>
          <w:szCs w:val="24"/>
          <w:lang w:val="uk-UA"/>
        </w:rPr>
        <w:t>(код цільового призначення згідно з КВЦПЗД - 01.0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7</w:t>
      </w:r>
      <w:r>
        <w:rPr>
          <w:color w:val="000000"/>
          <w:sz w:val="24"/>
          <w:szCs w:val="24"/>
          <w:lang w:val="uk-UA"/>
        </w:rPr>
        <w:t xml:space="preserve">),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орієнтовною </w:t>
      </w:r>
      <w:r>
        <w:rPr>
          <w:color w:val="000000"/>
          <w:sz w:val="24"/>
          <w:szCs w:val="24"/>
          <w:lang w:val="uk-UA"/>
        </w:rPr>
        <w:t>площею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0,4172</w:t>
      </w:r>
      <w:r>
        <w:rPr>
          <w:color w:val="000000"/>
          <w:sz w:val="24"/>
          <w:szCs w:val="24"/>
          <w:lang w:val="uk-UA"/>
        </w:rPr>
        <w:t xml:space="preserve"> га за рахунок земель комунальної власності Зміївської міської територіальної громади, що розташован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по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Аліпіній В. І. </w:t>
      </w:r>
      <w:r>
        <w:rPr>
          <w:color w:val="000000"/>
          <w:sz w:val="24"/>
          <w:szCs w:val="24"/>
          <w:lang w:val="uk-UA"/>
        </w:rPr>
        <w:t>звернутись до розробника документації із                         землеустрою, який відповідає вимогам закону, для виготовлення проекту землеустрою, що    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разом із витяг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ом</w:t>
      </w:r>
      <w:r>
        <w:rPr>
          <w:color w:val="000000"/>
          <w:sz w:val="24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ної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 xml:space="preserve"> у користування на правах оренди.</w:t>
      </w:r>
    </w:p>
    <w:p>
      <w:pPr>
        <w:pStyle w:val="Style32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Попередити гр.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 xml:space="preserve"> Аліпіну В. І.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</w:rPr>
        <w:t>4.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left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5257</TotalTime>
  <Application>LibreOffice/5.1.6.2$Linux_X86_64 LibreOffice_project/10m0$Build-2</Application>
  <Pages>1</Pages>
  <Words>314</Words>
  <Characters>2037</Characters>
  <CharactersWithSpaces>2578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2026-06-04T16:14:37Z</cp:lastPrinted>
  <dcterms:modified xsi:type="dcterms:W3CDTF">2026-06-10T14:48:29Z</dcterms:modified>
  <cp:revision>593</cp:revision>
  <dc:subject/>
  <dc:title/>
</cp:coreProperties>
</file>