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№572-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overflowPunct w:val="true"/>
        <w:bidi w:val="0"/>
        <w:spacing w:lineRule="auto" w:line="240" w:before="0" w:after="0"/>
        <w:ind w:left="0" w:right="4195" w:hanging="0"/>
        <w:jc w:val="both"/>
        <w:textAlignment w:val="baseline"/>
        <w:rPr/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гр. Терещенку О. П. дозволу на  розробку проекту землеустрою щодо </w:t>
      </w:r>
      <w:r>
        <w:rPr>
          <w:rFonts w:cs="Times New Roman"/>
          <w:b/>
          <w:bCs/>
          <w:sz w:val="24"/>
          <w:szCs w:val="24"/>
          <w:lang w:eastAsia="ru-RU"/>
        </w:rPr>
        <w:t xml:space="preserve">відведення земельної ділянки у власність для ведення особистого селянського господарства, що розташована по </w:t>
      </w:r>
      <w:r>
        <w:rPr>
          <w:rFonts w:cs="Times New Roman"/>
          <w:b/>
          <w:bCs/>
          <w:sz w:val="24"/>
          <w:szCs w:val="24"/>
          <w:lang w:eastAsia="ru-RU"/>
        </w:rPr>
        <w:t>Х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  <w:lang w:eastAsia="ru-RU"/>
        </w:rPr>
        <w:tab/>
        <w:t xml:space="preserve">Розглянувши заяву гр. Терещенка Олександра Павловича,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, враховуючи графічний матеріал, виконаний ФОП Горбачов В.О., викопіювання з кадастрової карти та іншої картографічної документації Державного земельного кадастру від 20.04. 2021 року реєстр. №193/171-21, виданого відділом у Зміївському районі Головного управління Держгеокадастру у Харківській області, керуючись ст. 12, 81, 33, 118, 121, 122,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Терещенку Олександру Павловичу,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2,0000 га для ведення особистого селянського господарства,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. 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Терещенку О. П. замовити проект землеустрою,зазначений в п. 1 даного рішення. Розробленний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overflowPunct w:val="true"/>
        <w:bidi w:val="0"/>
        <w:snapToGrid w:val="true"/>
        <w:spacing w:lineRule="auto" w:line="240" w:before="0" w:after="0"/>
        <w:ind w:left="0" w:right="0" w:firstLine="709"/>
        <w:jc w:val="both"/>
        <w:textAlignment w:val="baseline"/>
        <w:rPr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Style w:val="Style14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ru-RU" w:bidi="zxx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Application>LibreOffice/5.1.6.2$Linux_X86_64 LibreOffice_project/10m0$Build-2</Application>
  <Pages>1</Pages>
  <Words>255</Words>
  <Characters>1685</Characters>
  <CharactersWithSpaces>2102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2021-05-18T14:05:57Z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